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Matriz e Termos de Consentimento Específico</w:t>
      </w:r>
    </w:p>
    <w:p>
      <w:pPr>
        <w:pStyle w:val="Subtitle"/>
      </w:pPr>
      <w:r>
        <w:t>Modelos de autorizações destacadas — usar apenas quando necessárias</w:t>
      </w:r>
    </w:p>
    <w:p>
      <w:r>
        <w:t>Versão 2.0 — minuta para validação jurídica e operacional | 15 de outubro de 2026</w:t>
      </w:r>
    </w:p>
    <w:p>
      <w:pPr>
        <w:pStyle w:val="IntenseQuote"/>
      </w:pPr>
      <w:r>
        <w:t>ESCOPO INICIAL: acesso exclusivo a colaboradores vinculados a empresas contratantes; futura oferta direta ao público dependerá de revisão destes instrumentos.</w:t>
      </w:r>
    </w:p>
    <w:p>
      <w:pPr>
        <w:pStyle w:val="Heading1"/>
      </w:pPr>
      <w:r>
        <w:t>1. Regras gerais para consentimentos</w:t>
      </w:r>
    </w:p>
    <w:p>
      <w:r>
        <w:t>Este documento NÃO é autorização geral para tratar todos os dados de saúde. A plataforma deverá exibir autorizações separadas somente quando uma operação concreta depender juridicamente de consentimento. A recusa de funcionalidade opcional não deve impedir o acesso aos serviços independentes. Cada marcação deve começar desmarcada; a plataforma registrará versão, finalidade, data/hora, conta e evidência da manifestação. O titular pode revogar consentimentos pelos canais disponibilizados, respeitadas hipóteses legais de conservação.</w:t>
      </w:r>
    </w:p>
    <w:p>
      <w:pPr>
        <w:pStyle w:val="Heading1"/>
      </w:pPr>
      <w:r>
        <w:t>2. Modelo A — participação em funcionalidade opcional baseada em consentimento</w:t>
      </w:r>
    </w:p>
    <w:p>
      <w:r>
        <w:t>Finalidade a preencher para cada funcionalidade: [DESCREVER A FUNCIONALIDADE ESPECÍFICA E A FINALIDADE]. Dados tratados: [LISTAR CATEGORIAS EXATAS, INDICANDO DADOS SENSÍVEIS]. Compartilhamento: [IDENTIFICAR DESTINATÁRIOS]. Prazo ou critério de retenção: [PREENCHER]. Consequência da recusa: a funcionalidade opcional não será ativada, sem prejuízo de outros serviços elegíveis.</w:t>
      </w:r>
    </w:p>
    <w:p>
      <w:r>
        <w:t>[  ] AUTORIZO, de forma livre, específica e destacada, o tratamento acima descrito para esta finalidade.</w:t>
      </w:r>
    </w:p>
    <w:p>
      <w:r>
        <w:t>Este modelo somente deve ser ativado após fundamentação do enquadramento legal pelo responsável de privacidade.</w:t>
      </w:r>
    </w:p>
    <w:p>
      <w:pPr>
        <w:pStyle w:val="Heading1"/>
      </w:pPr>
      <w:r>
        <w:t>3. Modelo B — uso secundário facultativo de dados de saúde</w:t>
      </w:r>
    </w:p>
    <w:p>
      <w:r>
        <w:t>Para eventual pesquisa ou melhoria com dados pessoais ainda identificáveis, deve haver avaliação jurídica individualizada, definição de finalidade, base legal, governança ética e salvaguardas. Informação verdadeiramente anonimizada, quando não reversível por meios razoáveis, recebe tratamento legal distinto.</w:t>
      </w:r>
    </w:p>
    <w:p>
      <w:r>
        <w:t>[  ] AUTORIZO [FINALIDADE ESPECÍFICA, DADOS, DESTINATÁRIOS, DURAÇÃO] — caixa a publicar apenas se juridicamente pertinente e precedida das informações completas.</w:t>
      </w:r>
    </w:p>
    <w:p>
      <w:r>
        <w:t>Não utilizar este campo para autorizar genericamente pesquisas futuras indefinidas, marketing, compartilhamento com empregador ou exploração comercial de dados de saúde.</w:t>
      </w:r>
    </w:p>
    <w:p>
      <w:pPr>
        <w:pStyle w:val="Heading1"/>
      </w:pPr>
      <w:r>
        <w:t>4. Modelo C — comunicação opcional</w:t>
      </w:r>
    </w:p>
    <w:p>
      <w:r>
        <w:t>[  ] Desejo receber comunicações educativas facultativas sobre bem-estar, pelo canal [ESPECIFICAR], e posso retirar esta preferência a qualquer momento. Esta opção não implica autorização para envio de dados de saúde ao empregador, publicidade baseada em dados sensíveis ou comunicação clínica sem fundamento próprio.</w:t>
      </w:r>
    </w:p>
    <w:p>
      <w:pPr>
        <w:pStyle w:val="Heading1"/>
      </w:pPr>
      <w:r>
        <w:t>5. Revogação e informação</w:t>
      </w:r>
    </w:p>
    <w:p>
      <w:r>
        <w:t>A revogação poderá ser solicitada por [INSERIR CANAL]. O sistema deverá distinguir revogação de consentimento de pedidos gerais de exclusão e explicar as operações eventualmente conservadas sob outra base legal. Cada operação dependente de consentimento exigirá uma tela própria ou escolha inequívoca com texto integral disponível.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296" w:bottom="936" w:left="13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Bem Cuidar • Minuta v2.0 • 15 de outubro de 2026 • Uso sujeito à validação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BEM CUIDAR  /  BROMELIA CONSULTORIA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2A363F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D3E4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D3E48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D3E4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